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6E" w:rsidRPr="0057782E" w:rsidRDefault="00DE506E" w:rsidP="0057782E">
      <w:pPr>
        <w:spacing w:line="640" w:lineRule="exact"/>
        <w:jc w:val="center"/>
        <w:rPr>
          <w:rFonts w:ascii="方正大标宋简体" w:eastAsia="方正大标宋简体" w:hAnsi="Times New Roman" w:cs="Times New Roman" w:hint="eastAsia"/>
          <w:sz w:val="44"/>
          <w:szCs w:val="44"/>
        </w:rPr>
      </w:pPr>
      <w:r w:rsidRPr="0057782E">
        <w:rPr>
          <w:rFonts w:ascii="方正大标宋简体" w:eastAsia="方正大标宋简体" w:hAnsi="Times New Roman" w:cs="Times New Roman" w:hint="eastAsia"/>
          <w:sz w:val="44"/>
          <w:szCs w:val="44"/>
        </w:rPr>
        <w:t>中央企业境外国有产权管理暂行办法</w:t>
      </w:r>
    </w:p>
    <w:p w:rsidR="00DE506E" w:rsidRPr="0057782E" w:rsidRDefault="00DE506E" w:rsidP="0057782E">
      <w:pPr>
        <w:spacing w:line="640" w:lineRule="exact"/>
        <w:rPr>
          <w:rFonts w:ascii="Times New Roman" w:eastAsia="方正仿宋简体" w:hAnsi="Times New Roman" w:cs="Times New Roman"/>
          <w:sz w:val="32"/>
          <w:szCs w:val="32"/>
        </w:rPr>
      </w:pP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第一条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为加强和规范中央企业境外国有产权管理，根据《中华人民共和国企业国有资产法》、《企业国有资产监督管理暂行条例》（国务院令第</w:t>
      </w:r>
      <w:r w:rsidRPr="0057782E">
        <w:rPr>
          <w:rFonts w:ascii="Times New Roman" w:eastAsia="方正仿宋简体" w:hAnsi="Times New Roman" w:cs="Times New Roman"/>
          <w:sz w:val="32"/>
          <w:szCs w:val="32"/>
        </w:rPr>
        <w:t>378</w:t>
      </w:r>
      <w:r w:rsidRPr="0057782E">
        <w:rPr>
          <w:rFonts w:ascii="Times New Roman" w:eastAsia="方正仿宋简体" w:hAnsi="Times New Roman" w:cs="Times New Roman"/>
          <w:sz w:val="32"/>
          <w:szCs w:val="32"/>
        </w:rPr>
        <w:t>号）和国家有关法律、行政法规的规定，制定本办法。</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第二条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国务院国有资产监督管理委员会（以下简称国资委）履行出资人职责的企业（以下简称中央企业）及其各级独资、控股子企业（以下简称各级子企业）持有的境外国有产权管理适用本办法。国家法律、行政法规另有规定的，从其规定。</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本办法所称境外国有产权是指中央企业及其各级子企业以各种形式对境外企业出资所形成的权益。</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前款所称境外企业，是指中央企业及其各级子企业在我国境外以及香港特别行政区、澳门特别行政区和台湾地区依据当地法律出资设立的企业。</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第三条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中央企业是其境外国有产权管理的责任主体，应当依照我国法律、行政法规建立健全境外国有产权管理制度，同时遵守境外注册地和上市地的相关法律规定，规范境外国有产权管理行为。</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第四条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中央企业应当完善境外企业治理结构，强化境</w:t>
      </w:r>
      <w:r w:rsidRPr="0057782E">
        <w:rPr>
          <w:rFonts w:ascii="Times New Roman" w:eastAsia="方正仿宋简体" w:hAnsi="Times New Roman" w:cs="Times New Roman"/>
          <w:sz w:val="32"/>
          <w:szCs w:val="32"/>
        </w:rPr>
        <w:lastRenderedPageBreak/>
        <w:t>外企业章程管理，优化境外国有产权配置，保障境外国有产权安全。</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第五条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中央企业及其各级子企业独资或者控股的境外企业所持有的境内国有产权的管理，</w:t>
      </w:r>
      <w:proofErr w:type="gramStart"/>
      <w:r w:rsidRPr="0057782E">
        <w:rPr>
          <w:rFonts w:ascii="Times New Roman" w:eastAsia="方正仿宋简体" w:hAnsi="Times New Roman" w:cs="Times New Roman"/>
          <w:sz w:val="32"/>
          <w:szCs w:val="32"/>
        </w:rPr>
        <w:t>比照国</w:t>
      </w:r>
      <w:proofErr w:type="gramEnd"/>
      <w:r w:rsidRPr="0057782E">
        <w:rPr>
          <w:rFonts w:ascii="Times New Roman" w:eastAsia="方正仿宋简体" w:hAnsi="Times New Roman" w:cs="Times New Roman"/>
          <w:sz w:val="32"/>
          <w:szCs w:val="32"/>
        </w:rPr>
        <w:t>资委境内国有产权管理的相关规定执行。</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第六条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境外国有产权应当由中央企业或者其各级子企业持有。境外企业注册地相关法律规定须以个人名义持有的，应当统一由中央企业依据有关规定决定或者批准，依法办理委托出资等保全国有产权的法律手续，并以书面形式报告国资委。</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第七条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应当加强对离岸公司等特殊目的公司的管理。因重组、上市、转让或者经营管理需要设立特殊目的公司的，应当由中央企业决定或者批准并以书面形式报告国资委。已无存续必要的特殊目的公司，应当及时依法予以注销。</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第八条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中央企业及其各级子企业发生以下事项时，应当由中央企业统一向国资委申办产权登记：</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（一）以投资、分立、合并等方式新设境外企业，或者以收购、投资入股等方式首次取得境外企业产权的。</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（二）境外企业名称、注册地、注册资本、主营业务范围等企业基本信息发生改变，或者因企业出资人、出资额、</w:t>
      </w:r>
      <w:r w:rsidRPr="0057782E">
        <w:rPr>
          <w:rFonts w:ascii="Times New Roman" w:eastAsia="方正仿宋简体" w:hAnsi="Times New Roman" w:cs="Times New Roman"/>
          <w:sz w:val="32"/>
          <w:szCs w:val="32"/>
        </w:rPr>
        <w:lastRenderedPageBreak/>
        <w:t>出资比例等变化导致境外企业产权状况发生改变的。</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（三）境外企业解散、破产，或者因产权转让、减资等原因不再保留国有产权的。</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（四）其他需要办理产权登记的情形。</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第九条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中央企业及其各级子企业以其拥有的境内国有产权向境外企业注资或者转让，或者以其拥有的境外国有产权向境内企业注资或者转让，应当依照《企业国有资产评估管理暂行办法》（国资委令第</w:t>
      </w:r>
      <w:r w:rsidRPr="0057782E">
        <w:rPr>
          <w:rFonts w:ascii="Times New Roman" w:eastAsia="方正仿宋简体" w:hAnsi="Times New Roman" w:cs="Times New Roman"/>
          <w:sz w:val="32"/>
          <w:szCs w:val="32"/>
        </w:rPr>
        <w:t>12</w:t>
      </w:r>
      <w:r w:rsidRPr="0057782E">
        <w:rPr>
          <w:rFonts w:ascii="Times New Roman" w:eastAsia="方正仿宋简体" w:hAnsi="Times New Roman" w:cs="Times New Roman"/>
          <w:sz w:val="32"/>
          <w:szCs w:val="32"/>
        </w:rPr>
        <w:t>号）等相关规定，聘请具有相应资质的境内评估机构对标的物进行评估，并办理评估备案或者核准。</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及其各级子企业独资或者控股的境外企业在境外发生转让或者受让产权、以非货币资产出资、非上市公司国有股东股权比例变动、合并分立、解散清算等经济行为时，应当聘请具有相应资质、专业经验和良好信誉的专业机构对标的物进行评估或者估值，评估项目或者估值情况应当由中央企业备案；涉及中央企业重要子企业由国有独资转为绝对控股、绝对控股转为相对控股或者失去控股地位等经济行为的，评估项目或者估值情况应当报国资委备案或者核准。</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中央企业及其各级子企业独资或者控股的境外企业在进行与评估或者估值相应的经济行为时，其交易对价应当以</w:t>
      </w:r>
      <w:r w:rsidRPr="0057782E">
        <w:rPr>
          <w:rFonts w:ascii="Times New Roman" w:eastAsia="方正仿宋简体" w:hAnsi="Times New Roman" w:cs="Times New Roman"/>
          <w:sz w:val="32"/>
          <w:szCs w:val="32"/>
        </w:rPr>
        <w:lastRenderedPageBreak/>
        <w:t>经备案的评估或者估值结果为基准。</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第十一条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境外国有产权转让等涉及国有产权变动的事项，由中央企业决定或者批准，并按国家有关法律和法规办理相关手续。其中，中央企业重要子企业由国有独资转为绝对控股、绝对控股转为相对控股或者失去控股地位的，应当报国资委审核同意。</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第十二条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中央企业及其各级子企业转让境外国有产权，要多方比选意向受让方。具备条件的，应当公开征集意向受让方并竞价转让，或者进入中央企业国有产权转让交易试点机构挂牌交易。</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第十三条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在本企业内部实施资产重组，转让方为中央企业及其直接或者间接全资拥有的境外企业，受让方为中央企业及其直接或者间接全资拥有的境内外企业的，转让价格可以以评估或者审计确认的净资产值为底价确定。</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第十四条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境外国有产权转让价款应当按照产权转让合同约定支付，原则上应当一次付清。确需采取分期付款的，受让方须提供合法的担保。</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第十五条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及其各级子企业独资或者控股的境外企业在境外首次公开发行股票，或者中央企业及其各级子企业所持有的境外注册并上市公司的股份发生变动的，由中央企业按照证券监管法律、法规决定或者批准，并将有关情</w:t>
      </w:r>
      <w:r w:rsidRPr="0057782E">
        <w:rPr>
          <w:rFonts w:ascii="Times New Roman" w:eastAsia="方正仿宋简体" w:hAnsi="Times New Roman" w:cs="Times New Roman"/>
          <w:sz w:val="32"/>
          <w:szCs w:val="32"/>
        </w:rPr>
        <w:lastRenderedPageBreak/>
        <w:t>况以书面形式报告国资委。境外注册并上市公司属于中央企业重要子企业的，上述事项应当由中央企业按照《国有股东转让所持上市公司股份管理暂行办法》（国资委令第</w:t>
      </w:r>
      <w:r w:rsidRPr="0057782E">
        <w:rPr>
          <w:rFonts w:ascii="Times New Roman" w:eastAsia="方正仿宋简体" w:hAnsi="Times New Roman" w:cs="Times New Roman"/>
          <w:sz w:val="32"/>
          <w:szCs w:val="32"/>
        </w:rPr>
        <w:t>19</w:t>
      </w:r>
      <w:r w:rsidRPr="0057782E">
        <w:rPr>
          <w:rFonts w:ascii="Times New Roman" w:eastAsia="方正仿宋简体" w:hAnsi="Times New Roman" w:cs="Times New Roman"/>
          <w:sz w:val="32"/>
          <w:szCs w:val="32"/>
        </w:rPr>
        <w:t>号）等相关规定报国资委审核同意或者备案。</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第十六条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中央企业应当按照本办法落实境外国有产权管理工作责任，完善档案管理，并及时将本企业境外国有产权管理制度、负责机构等相关情况以书面形式报告国资委。</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第十七条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中央企业应当每年对各级子企业执行本办法的情况进行监督检查，并及时将检查情况以书面形式报告国资委。</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国资委对中央企业境外国有产权管理情况进行不定期抽查。</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第十八条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中央企业及其各级子企业有关责任人员违反国家法律、法规和本办法规定，未履行对境外国有产权的监管责任，导致国有资产损失的，由有关部门按照干部管理权限和有关法律法规给予处分；涉嫌犯罪的，依法移交司法机关处理。</w:t>
      </w:r>
    </w:p>
    <w:p w:rsidR="00DE506E" w:rsidRPr="0057782E" w:rsidRDefault="00DE506E" w:rsidP="0057782E">
      <w:pPr>
        <w:spacing w:line="640" w:lineRule="exact"/>
        <w:rPr>
          <w:rFonts w:ascii="Times New Roman" w:eastAsia="方正仿宋简体" w:hAnsi="Times New Roman" w:cs="Times New Roman"/>
          <w:sz w:val="32"/>
          <w:szCs w:val="32"/>
        </w:rPr>
      </w:pPr>
      <w:r w:rsidRPr="0057782E">
        <w:rPr>
          <w:rFonts w:ascii="Times New Roman" w:eastAsia="方正仿宋简体" w:hAnsi="Times New Roman" w:cs="Times New Roman"/>
          <w:sz w:val="32"/>
          <w:szCs w:val="32"/>
        </w:rPr>
        <w:t xml:space="preserve">　　第十九条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 xml:space="preserve">地方国有资产监督管理机构可以参照本办法制定所出资企业境外国有产权管理制度。　</w:t>
      </w:r>
    </w:p>
    <w:p w:rsidR="00541AE4" w:rsidRPr="0057782E" w:rsidRDefault="00DE506E" w:rsidP="0057782E">
      <w:pPr>
        <w:spacing w:line="640" w:lineRule="exact"/>
        <w:rPr>
          <w:rFonts w:ascii="Times New Roman" w:eastAsia="方正仿宋简体" w:hAnsi="Times New Roman" w:cs="Times New Roman"/>
          <w:sz w:val="32"/>
          <w:szCs w:val="32"/>
        </w:rPr>
      </w:pPr>
      <w:bookmarkStart w:id="0" w:name="_GoBack"/>
      <w:bookmarkEnd w:id="0"/>
      <w:r w:rsidRPr="0057782E">
        <w:rPr>
          <w:rFonts w:ascii="Times New Roman" w:eastAsia="方正仿宋简体" w:hAnsi="Times New Roman" w:cs="Times New Roman"/>
          <w:sz w:val="32"/>
          <w:szCs w:val="32"/>
        </w:rPr>
        <w:t xml:space="preserve">　　第二十条</w:t>
      </w:r>
      <w:r w:rsidRPr="0057782E">
        <w:rPr>
          <w:rFonts w:ascii="Times New Roman" w:eastAsia="方正仿宋简体" w:hAnsi="Times New Roman" w:cs="Times New Roman"/>
          <w:sz w:val="32"/>
          <w:szCs w:val="32"/>
        </w:rPr>
        <w:t xml:space="preserve"> </w:t>
      </w:r>
      <w:r w:rsidRPr="0057782E">
        <w:rPr>
          <w:rFonts w:ascii="Times New Roman" w:eastAsia="方正仿宋简体" w:hAnsi="Times New Roman" w:cs="Times New Roman"/>
          <w:sz w:val="32"/>
          <w:szCs w:val="32"/>
        </w:rPr>
        <w:t>本办法自</w:t>
      </w:r>
      <w:r w:rsidRPr="0057782E">
        <w:rPr>
          <w:rFonts w:ascii="Times New Roman" w:eastAsia="方正仿宋简体" w:hAnsi="Times New Roman" w:cs="Times New Roman"/>
          <w:sz w:val="32"/>
          <w:szCs w:val="32"/>
        </w:rPr>
        <w:t>2011</w:t>
      </w:r>
      <w:r w:rsidRPr="0057782E">
        <w:rPr>
          <w:rFonts w:ascii="Times New Roman" w:eastAsia="方正仿宋简体" w:hAnsi="Times New Roman" w:cs="Times New Roman"/>
          <w:sz w:val="32"/>
          <w:szCs w:val="32"/>
        </w:rPr>
        <w:t>年</w:t>
      </w:r>
      <w:r w:rsidRPr="0057782E">
        <w:rPr>
          <w:rFonts w:ascii="Times New Roman" w:eastAsia="方正仿宋简体" w:hAnsi="Times New Roman" w:cs="Times New Roman"/>
          <w:sz w:val="32"/>
          <w:szCs w:val="32"/>
        </w:rPr>
        <w:t>7</w:t>
      </w:r>
      <w:r w:rsidRPr="0057782E">
        <w:rPr>
          <w:rFonts w:ascii="Times New Roman" w:eastAsia="方正仿宋简体" w:hAnsi="Times New Roman" w:cs="Times New Roman"/>
          <w:sz w:val="32"/>
          <w:szCs w:val="32"/>
        </w:rPr>
        <w:t>月</w:t>
      </w:r>
      <w:r w:rsidRPr="0057782E">
        <w:rPr>
          <w:rFonts w:ascii="Times New Roman" w:eastAsia="方正仿宋简体" w:hAnsi="Times New Roman" w:cs="Times New Roman"/>
          <w:sz w:val="32"/>
          <w:szCs w:val="32"/>
        </w:rPr>
        <w:t>1</w:t>
      </w:r>
      <w:r w:rsidRPr="0057782E">
        <w:rPr>
          <w:rFonts w:ascii="Times New Roman" w:eastAsia="方正仿宋简体" w:hAnsi="Times New Roman" w:cs="Times New Roman"/>
          <w:sz w:val="32"/>
          <w:szCs w:val="32"/>
        </w:rPr>
        <w:t>日起施行。</w:t>
      </w:r>
    </w:p>
    <w:sectPr w:rsidR="00541AE4" w:rsidRPr="00577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6E"/>
    <w:rsid w:val="00541AE4"/>
    <w:rsid w:val="0057782E"/>
    <w:rsid w:val="00DE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347</Words>
  <Characters>1981</Characters>
  <Application>Microsoft Office Word</Application>
  <DocSecurity>0</DocSecurity>
  <Lines>16</Lines>
  <Paragraphs>4</Paragraphs>
  <ScaleCrop>false</ScaleCrop>
  <Company>微软中国</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2011-07-01T08:49:00Z</dcterms:created>
  <dcterms:modified xsi:type="dcterms:W3CDTF">2011-07-01T08:56:00Z</dcterms:modified>
</cp:coreProperties>
</file>