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eastAsia="仿宋_GB2312"/>
          <w:w w:val="98"/>
          <w:sz w:val="32"/>
          <w:szCs w:val="32"/>
        </w:rPr>
      </w:pPr>
      <w:r>
        <w:rPr>
          <w:rFonts w:hint="eastAsia" w:ascii="仿宋_GB2312" w:eastAsia="仿宋_GB2312"/>
          <w:w w:val="98"/>
          <w:sz w:val="32"/>
          <w:szCs w:val="32"/>
        </w:rPr>
        <w:t>附件</w:t>
      </w:r>
      <w:r>
        <w:rPr>
          <w:rFonts w:hint="eastAsia" w:ascii="仿宋_GB2312" w:hAnsi="Times New Roman" w:eastAsia="仿宋_GB2312"/>
          <w:w w:val="98"/>
          <w:sz w:val="32"/>
          <w:szCs w:val="32"/>
        </w:rPr>
        <w:t>3</w:t>
      </w:r>
    </w:p>
    <w:p>
      <w:pPr>
        <w:widowControl/>
        <w:spacing w:line="596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p>
      <w:pPr>
        <w:widowControl/>
        <w:spacing w:line="360" w:lineRule="exact"/>
        <w:jc w:val="center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（2020年度）</w:t>
      </w:r>
    </w:p>
    <w:tbl>
      <w:tblPr>
        <w:tblStyle w:val="5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29"/>
        <w:gridCol w:w="121"/>
        <w:gridCol w:w="870"/>
        <w:gridCol w:w="1080"/>
        <w:gridCol w:w="60"/>
        <w:gridCol w:w="2550"/>
        <w:gridCol w:w="96"/>
        <w:gridCol w:w="1311"/>
        <w:gridCol w:w="78"/>
        <w:gridCol w:w="394"/>
        <w:gridCol w:w="266"/>
        <w:gridCol w:w="601"/>
        <w:gridCol w:w="74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省级预算部门名称</w:t>
            </w:r>
          </w:p>
        </w:tc>
        <w:tc>
          <w:tcPr>
            <w:tcW w:w="9540" w:type="dxa"/>
            <w:gridSpan w:val="1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湖南省人民政府国有资产监督管理委员会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年度预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算申请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92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7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年  初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预算数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全  年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预算数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全  年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执行数</w:t>
            </w:r>
          </w:p>
        </w:tc>
        <w:tc>
          <w:tcPr>
            <w:tcW w:w="4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分值</w:t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执行率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20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eastAsia="仿宋"/>
                <w:szCs w:val="21"/>
              </w:rPr>
              <w:t>6,196.21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11,938.54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11,520.48</w:t>
            </w:r>
          </w:p>
        </w:tc>
        <w:tc>
          <w:tcPr>
            <w:tcW w:w="47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  <w:lang w:val="en-US" w:eastAsia="zh-CN"/>
              </w:rPr>
              <w:t>96.50</w:t>
            </w:r>
            <w:r>
              <w:rPr>
                <w:rFonts w:eastAsia="仿宋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5610" w:type="dxa"/>
            <w:gridSpan w:val="6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3930" w:type="dxa"/>
            <w:gridSpan w:val="8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5610" w:type="dxa"/>
            <w:gridSpan w:val="6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其中：  一般公共预算：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8</w:t>
            </w:r>
            <w:r>
              <w:rPr>
                <w:rFonts w:eastAsia="仿宋"/>
                <w:color w:val="000000"/>
                <w:kern w:val="0"/>
                <w:szCs w:val="21"/>
              </w:rPr>
              <w:t>,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660.55</w:t>
            </w:r>
          </w:p>
        </w:tc>
        <w:tc>
          <w:tcPr>
            <w:tcW w:w="3930" w:type="dxa"/>
            <w:gridSpan w:val="8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其中：基本支出：</w:t>
            </w:r>
            <w:r>
              <w:rPr>
                <w:rFonts w:eastAsia="仿宋"/>
                <w:color w:val="000000"/>
                <w:kern w:val="0"/>
                <w:szCs w:val="21"/>
              </w:rPr>
              <w:t>5,222.31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5610" w:type="dxa"/>
            <w:gridSpan w:val="6"/>
            <w:vAlign w:val="center"/>
          </w:tcPr>
          <w:p>
            <w:pPr>
              <w:widowControl/>
              <w:spacing w:line="280" w:lineRule="exact"/>
              <w:ind w:firstLine="840" w:firstLineChars="4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国有资本经营预算拨款：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2,850.78</w:t>
            </w:r>
          </w:p>
        </w:tc>
        <w:tc>
          <w:tcPr>
            <w:tcW w:w="3930" w:type="dxa"/>
            <w:gridSpan w:val="8"/>
            <w:vAlign w:val="center"/>
          </w:tcPr>
          <w:p>
            <w:pPr>
              <w:widowControl/>
              <w:spacing w:line="280" w:lineRule="exact"/>
              <w:ind w:firstLine="630" w:firstLineChars="300"/>
              <w:jc w:val="left"/>
              <w:rPr>
                <w:rStyle w:val="7"/>
                <w:rFonts w:ascii="仿宋" w:hAnsi="仿宋" w:eastAsia="仿宋" w:cs="仿宋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项目支出：</w:t>
            </w:r>
            <w:r>
              <w:rPr>
                <w:rFonts w:eastAsia="仿宋"/>
                <w:color w:val="000000"/>
                <w:kern w:val="0"/>
                <w:szCs w:val="21"/>
              </w:rPr>
              <w:t>5,931.83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5610" w:type="dxa"/>
            <w:gridSpan w:val="6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纳入专户管理的非税收入拨款：</w:t>
            </w:r>
            <w:r>
              <w:rPr>
                <w:rFonts w:eastAsia="仿宋"/>
                <w:color w:val="000000"/>
                <w:kern w:val="0"/>
                <w:szCs w:val="21"/>
              </w:rPr>
              <w:t>426.78</w:t>
            </w:r>
          </w:p>
        </w:tc>
        <w:tc>
          <w:tcPr>
            <w:tcW w:w="3930" w:type="dxa"/>
            <w:gridSpan w:val="8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    省级专项资金支出：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5610" w:type="dxa"/>
            <w:gridSpan w:val="6"/>
            <w:vAlign w:val="center"/>
          </w:tcPr>
          <w:p>
            <w:pPr>
              <w:widowControl/>
              <w:spacing w:line="280" w:lineRule="exact"/>
              <w:ind w:firstLine="840" w:firstLineChars="4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其他资金：</w:t>
            </w:r>
            <w:r>
              <w:rPr>
                <w:rFonts w:eastAsia="仿宋"/>
                <w:color w:val="000000"/>
                <w:kern w:val="0"/>
                <w:szCs w:val="21"/>
              </w:rPr>
              <w:t>0.43</w:t>
            </w:r>
          </w:p>
        </w:tc>
        <w:tc>
          <w:tcPr>
            <w:tcW w:w="3930" w:type="dxa"/>
            <w:gridSpan w:val="8"/>
            <w:vAlign w:val="center"/>
          </w:tcPr>
          <w:p>
            <w:pPr>
              <w:widowControl/>
              <w:spacing w:line="280" w:lineRule="exact"/>
              <w:ind w:firstLine="63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经营支出：</w:t>
            </w:r>
            <w:r>
              <w:rPr>
                <w:rFonts w:hint="eastAsia" w:eastAsia="仿宋"/>
                <w:color w:val="000000"/>
                <w:kern w:val="0"/>
                <w:szCs w:val="21"/>
                <w:lang w:val="en-US" w:eastAsia="zh-CN"/>
              </w:rPr>
              <w:t>366.34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年度总体目   标</w:t>
            </w:r>
          </w:p>
        </w:tc>
        <w:tc>
          <w:tcPr>
            <w:tcW w:w="5610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3930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5610" w:type="dxa"/>
            <w:gridSpan w:val="6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按照省国资委职能职责，保障机关正常运转。进一步推进国有经济布局优化和结构调整，提高企业自主创新能力;进一步深化国有企业改革，；进一步强化重点领域风险防控，防控债务风险、投资风险、安全环保风险；进一步完善国资监管体制机制，以管资本为主加强国资监管，发挥国有资本、投资运营公司的功能作用，加强国资监督闭环管理；进一步加强党的领导党的建设，夯实基层基础，深入推进党风廉政建设和反腐败斗争。</w:t>
            </w:r>
          </w:p>
        </w:tc>
        <w:tc>
          <w:tcPr>
            <w:tcW w:w="3930" w:type="dxa"/>
            <w:gridSpan w:val="8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全省国资系统深入学习习近平总书记考察湖南重要讲话指示精神，认真贯彻省委、省政府决策部署，全面加强党的领导，深化各项改革发展措施， 各项工作取得了明显成效。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三级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110" w:type="dxa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偏差原因分析及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在职人员控制数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在职人员不超过编制人数(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129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128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预算调整及执行情况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预算调整率不超10%，执行不超全年预算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96.50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%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工作任务执行情况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完成职责内工作及相关工作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完成职责内工作及相关工作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质量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财政资金使用合规性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规范预算开支，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符合国家财经法规和单位财务管理制度规定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规范预算开支，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符合国家财经法规和单位财务管理制度规定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工作有效性及安全性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不得出现重大事故及投诉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不得出现重大事故及投诉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管理制度及安全性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管理制度得到有效执行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管理制度得到有效执行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验收合格率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各项目实施及设备验收合格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各项目实施及设备验收合格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时效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工作效率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完成全年任务考核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完成全年任务考核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成本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公用经费节约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不超全年预算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不超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三公经费节约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不超全年预算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不超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分）　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省属监管企业营业收入、利润、税收率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实现营业收入、利润、税收率同比增长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稳步上升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促进全省经济发展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效果良好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效果良好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直接或间接带动相关产业发展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效果良好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效果良好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提升企业核心竞争力，助推企业高质量发展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指导国企高质量发展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效果良好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推动生态经济系统发展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推动监管企业节能减排，保护生态环境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效果良好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可持续影响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社会各界关注度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对国资监管和国企改革、转型发展的关注度持续提升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持续提升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满意度指标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党和国家服务满意情况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国家或政府认可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度达到较好以上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较好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社会群众满意情况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95%以上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95%以上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815" w:type="dxa"/>
            <w:gridSpan w:val="1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260" w:lineRule="exact"/>
        <w:jc w:val="left"/>
        <w:rPr>
          <w:rFonts w:eastAsia="仿宋_GB2312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05C70"/>
    <w:rsid w:val="3570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不明显强调1"/>
    <w:basedOn w:val="6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2021-06-23T09:03:00Z</dcterms:created>
  <dc:creator>Administrator</dc:creator>
  <cp:lastModifiedBy>Administrator</cp:lastModifiedBy>
  <dcterms:modified xsi:type="dcterms:W3CDTF">2021-06-23T09:04:27Z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